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Y="1135"/>
        <w:tblW w:w="5245" w:type="dxa"/>
        <w:tblLayout w:type="fixed"/>
        <w:tblCellMar>
          <w:left w:w="0" w:type="dxa"/>
          <w:right w:w="0" w:type="dxa"/>
        </w:tblCellMar>
        <w:tblLook w:val="0000" w:firstRow="0" w:lastRow="0" w:firstColumn="0" w:lastColumn="0" w:noHBand="0" w:noVBand="0"/>
      </w:tblPr>
      <w:tblGrid>
        <w:gridCol w:w="692"/>
        <w:gridCol w:w="2047"/>
        <w:gridCol w:w="455"/>
        <w:gridCol w:w="1307"/>
        <w:gridCol w:w="744"/>
      </w:tblGrid>
      <w:tr w:rsidR="00505629" w14:paraId="775C5A21" w14:textId="77777777" w:rsidTr="00575985">
        <w:trPr>
          <w:trHeight w:hRule="exact" w:val="3702"/>
        </w:trPr>
        <w:tc>
          <w:tcPr>
            <w:tcW w:w="4501" w:type="dxa"/>
            <w:gridSpan w:val="4"/>
            <w:tcBorders>
              <w:bottom w:val="nil"/>
            </w:tcBorders>
          </w:tcPr>
          <w:p w14:paraId="26000302" w14:textId="77777777" w:rsidR="00505629" w:rsidRDefault="00505629" w:rsidP="004C6099">
            <w:pPr>
              <w:jc w:val="center"/>
              <w:rPr>
                <w:color w:val="FF0000"/>
                <w:sz w:val="20"/>
                <w:szCs w:val="20"/>
              </w:rPr>
            </w:pPr>
            <w:bookmarkStart w:id="0" w:name="STAMPCORNER"/>
            <w:r>
              <w:rPr>
                <w:color w:val="FF0000"/>
                <w:sz w:val="20"/>
                <w:szCs w:val="20"/>
              </w:rPr>
              <w:t>Авто угловой штамп</w:t>
            </w:r>
            <w:bookmarkEnd w:id="0"/>
          </w:p>
        </w:tc>
        <w:tc>
          <w:tcPr>
            <w:tcW w:w="744" w:type="dxa"/>
            <w:vMerge w:val="restart"/>
            <w:tcBorders>
              <w:bottom w:val="nil"/>
            </w:tcBorders>
          </w:tcPr>
          <w:p w14:paraId="69803ACB" w14:textId="77777777" w:rsidR="00505629" w:rsidRDefault="00505629" w:rsidP="004C6099">
            <w:pPr>
              <w:jc w:val="right"/>
              <w:rPr>
                <w:color w:val="FF0000"/>
                <w:sz w:val="20"/>
                <w:szCs w:val="20"/>
                <w:lang w:val="en-US"/>
              </w:rPr>
            </w:pPr>
          </w:p>
        </w:tc>
      </w:tr>
      <w:tr w:rsidR="00505629" w14:paraId="782CC86C" w14:textId="77777777" w:rsidTr="00575985">
        <w:trPr>
          <w:trHeight w:hRule="exact" w:val="393"/>
        </w:trPr>
        <w:tc>
          <w:tcPr>
            <w:tcW w:w="4501" w:type="dxa"/>
            <w:gridSpan w:val="4"/>
            <w:vAlign w:val="center"/>
          </w:tcPr>
          <w:p w14:paraId="2CFAA2C5" w14:textId="58168E6F" w:rsidR="00505629" w:rsidRDefault="00505629" w:rsidP="004C6099">
            <w:pPr>
              <w:rPr>
                <w:sz w:val="20"/>
                <w:szCs w:val="20"/>
                <w:lang w:val="en-US"/>
              </w:rPr>
            </w:pPr>
            <w:bookmarkStart w:id="1" w:name="REGNUMDATESTAMP"/>
            <w:r>
              <w:rPr>
                <w:color w:val="FF0000"/>
                <w:sz w:val="22"/>
                <w:szCs w:val="20"/>
              </w:rPr>
              <w:t>[</w:t>
            </w:r>
            <w:proofErr w:type="spellStart"/>
            <w:r>
              <w:rPr>
                <w:color w:val="FF0000"/>
                <w:sz w:val="22"/>
                <w:szCs w:val="20"/>
              </w:rPr>
              <w:t>Авто_</w:t>
            </w:r>
            <w:proofErr w:type="gramStart"/>
            <w:r>
              <w:rPr>
                <w:color w:val="FF0000"/>
                <w:sz w:val="22"/>
                <w:szCs w:val="20"/>
              </w:rPr>
              <w:t>рег.номер</w:t>
            </w:r>
            <w:proofErr w:type="spellEnd"/>
            <w:proofErr w:type="gramEnd"/>
            <w:r>
              <w:rPr>
                <w:color w:val="FF0000"/>
                <w:sz w:val="22"/>
                <w:szCs w:val="20"/>
                <w:lang w:val="en-US"/>
              </w:rPr>
              <w:t>]</w:t>
            </w:r>
            <w:bookmarkEnd w:id="1"/>
          </w:p>
        </w:tc>
        <w:tc>
          <w:tcPr>
            <w:tcW w:w="744" w:type="dxa"/>
            <w:vMerge/>
          </w:tcPr>
          <w:p w14:paraId="26431FEF" w14:textId="77777777" w:rsidR="00505629" w:rsidRDefault="00505629" w:rsidP="004C6099">
            <w:pPr>
              <w:rPr>
                <w:color w:val="FF0000"/>
                <w:sz w:val="22"/>
                <w:szCs w:val="20"/>
              </w:rPr>
            </w:pPr>
          </w:p>
        </w:tc>
      </w:tr>
      <w:tr w:rsidR="00505629" w14:paraId="6DFA2873" w14:textId="77777777" w:rsidTr="00575985">
        <w:trPr>
          <w:trHeight w:hRule="exact" w:val="341"/>
        </w:trPr>
        <w:tc>
          <w:tcPr>
            <w:tcW w:w="692" w:type="dxa"/>
            <w:vAlign w:val="bottom"/>
          </w:tcPr>
          <w:p w14:paraId="6911C4B4" w14:textId="77777777" w:rsidR="00505629" w:rsidRDefault="00505629" w:rsidP="004C6099">
            <w:pPr>
              <w:rPr>
                <w:sz w:val="22"/>
                <w:szCs w:val="20"/>
              </w:rPr>
            </w:pPr>
            <w:r>
              <w:rPr>
                <w:sz w:val="24"/>
                <w:szCs w:val="20"/>
              </w:rPr>
              <w:t>На №</w:t>
            </w:r>
          </w:p>
        </w:tc>
        <w:tc>
          <w:tcPr>
            <w:tcW w:w="2047" w:type="dxa"/>
            <w:tcBorders>
              <w:bottom w:val="single" w:sz="4" w:space="0" w:color="auto"/>
            </w:tcBorders>
            <w:vAlign w:val="bottom"/>
          </w:tcPr>
          <w:p w14:paraId="69B415C3" w14:textId="3AD9D67F" w:rsidR="00505629" w:rsidRDefault="00505629" w:rsidP="004C6099">
            <w:pPr>
              <w:rPr>
                <w:sz w:val="24"/>
              </w:rPr>
            </w:pPr>
          </w:p>
        </w:tc>
        <w:tc>
          <w:tcPr>
            <w:tcW w:w="455" w:type="dxa"/>
            <w:vAlign w:val="bottom"/>
          </w:tcPr>
          <w:p w14:paraId="3CB3DB04" w14:textId="77777777" w:rsidR="00505629" w:rsidRDefault="00505629" w:rsidP="004C6099">
            <w:pPr>
              <w:jc w:val="center"/>
              <w:rPr>
                <w:sz w:val="24"/>
              </w:rPr>
            </w:pPr>
            <w:r>
              <w:rPr>
                <w:sz w:val="24"/>
              </w:rPr>
              <w:t>от</w:t>
            </w:r>
          </w:p>
        </w:tc>
        <w:tc>
          <w:tcPr>
            <w:tcW w:w="1307" w:type="dxa"/>
            <w:tcBorders>
              <w:left w:val="none" w:sz="4" w:space="0" w:color="000000"/>
              <w:bottom w:val="single" w:sz="4" w:space="0" w:color="auto"/>
            </w:tcBorders>
            <w:vAlign w:val="bottom"/>
          </w:tcPr>
          <w:p w14:paraId="5AE607FC" w14:textId="37980B06" w:rsidR="00505629" w:rsidRDefault="00505629" w:rsidP="004C6099">
            <w:pPr>
              <w:rPr>
                <w:sz w:val="24"/>
              </w:rPr>
            </w:pPr>
          </w:p>
        </w:tc>
        <w:tc>
          <w:tcPr>
            <w:tcW w:w="744" w:type="dxa"/>
            <w:vMerge/>
          </w:tcPr>
          <w:p w14:paraId="45CD3F17" w14:textId="77777777" w:rsidR="00505629" w:rsidRDefault="00505629" w:rsidP="004C6099">
            <w:pPr>
              <w:rPr>
                <w:color w:val="1F4E79" w:themeColor="accent1" w:themeShade="80"/>
                <w:sz w:val="22"/>
                <w:szCs w:val="20"/>
              </w:rPr>
            </w:pPr>
          </w:p>
        </w:tc>
      </w:tr>
    </w:tbl>
    <w:p w14:paraId="673CE6F6" w14:textId="26755C83" w:rsidR="00E33250" w:rsidRDefault="00E33250" w:rsidP="00E33250">
      <w:pPr>
        <w:jc w:val="center"/>
        <w:rPr>
          <w:b/>
        </w:rPr>
      </w:pPr>
    </w:p>
    <w:p w14:paraId="4CDA6955" w14:textId="77777777" w:rsidR="00C653C7" w:rsidRDefault="00C653C7" w:rsidP="00C653C7">
      <w:pPr>
        <w:jc w:val="center"/>
        <w:rPr>
          <w:b/>
          <w:bCs/>
        </w:rPr>
      </w:pPr>
    </w:p>
    <w:p w14:paraId="7207C801" w14:textId="77777777" w:rsidR="00C653C7" w:rsidRPr="00A845AA" w:rsidRDefault="00C653C7" w:rsidP="00C653C7">
      <w:pPr>
        <w:jc w:val="center"/>
        <w:rPr>
          <w:b/>
          <w:bCs/>
        </w:rPr>
      </w:pPr>
      <w:r w:rsidRPr="00A845AA">
        <w:rPr>
          <w:b/>
          <w:bCs/>
        </w:rPr>
        <w:t>Начальнику</w:t>
      </w:r>
    </w:p>
    <w:p w14:paraId="2F90BE4F" w14:textId="77777777" w:rsidR="00C653C7" w:rsidRDefault="00C653C7" w:rsidP="00C653C7">
      <w:pPr>
        <w:jc w:val="center"/>
        <w:rPr>
          <w:b/>
          <w:bCs/>
        </w:rPr>
      </w:pPr>
      <w:r w:rsidRPr="00A845AA">
        <w:rPr>
          <w:b/>
          <w:bCs/>
        </w:rPr>
        <w:t>МКУ «УКС администрации города Белгорода»</w:t>
      </w:r>
    </w:p>
    <w:p w14:paraId="5EE19E8F" w14:textId="77777777" w:rsidR="00C653C7" w:rsidRPr="00A845AA" w:rsidRDefault="00C653C7" w:rsidP="00C653C7">
      <w:pPr>
        <w:jc w:val="center"/>
        <w:rPr>
          <w:b/>
          <w:bCs/>
        </w:rPr>
      </w:pPr>
    </w:p>
    <w:p w14:paraId="108CC731" w14:textId="77777777" w:rsidR="00C653C7" w:rsidRPr="00A845AA" w:rsidRDefault="00C653C7" w:rsidP="00C653C7">
      <w:pPr>
        <w:jc w:val="center"/>
        <w:rPr>
          <w:b/>
          <w:bCs/>
        </w:rPr>
      </w:pPr>
      <w:r w:rsidRPr="00A845AA">
        <w:rPr>
          <w:b/>
          <w:bCs/>
        </w:rPr>
        <w:t>Рубанову Д.М.</w:t>
      </w:r>
    </w:p>
    <w:p w14:paraId="513D879C" w14:textId="1779C992" w:rsidR="00E95BAE" w:rsidRDefault="00E95BAE"/>
    <w:p w14:paraId="4292DECA" w14:textId="69867949" w:rsidR="00E33250" w:rsidRDefault="00E33250"/>
    <w:p w14:paraId="66E7C979" w14:textId="77777777" w:rsidR="00E33250" w:rsidRDefault="00E33250"/>
    <w:p w14:paraId="40884FC7" w14:textId="77777777" w:rsidR="00E95BAE" w:rsidRDefault="00E95BAE"/>
    <w:p w14:paraId="4869528B" w14:textId="77777777" w:rsidR="000A7335" w:rsidRDefault="000A7335"/>
    <w:p w14:paraId="0B9082C1" w14:textId="7CA2F7A6" w:rsidR="00E95BAE" w:rsidRDefault="00E95BAE"/>
    <w:p w14:paraId="1303A0F1" w14:textId="0D420290" w:rsidR="0003115C" w:rsidRDefault="0003115C"/>
    <w:p w14:paraId="2EA937D8" w14:textId="77777777" w:rsidR="00575985" w:rsidRDefault="00575985">
      <w:pPr>
        <w:rPr>
          <w:b/>
        </w:rPr>
      </w:pPr>
    </w:p>
    <w:p w14:paraId="5F2BA675" w14:textId="77777777" w:rsidR="002976E9" w:rsidRPr="00B73824" w:rsidRDefault="002976E9" w:rsidP="002976E9">
      <w:pPr>
        <w:rPr>
          <w:b/>
          <w:bCs/>
        </w:rPr>
      </w:pPr>
      <w:r w:rsidRPr="00B73824">
        <w:rPr>
          <w:b/>
          <w:bCs/>
        </w:rPr>
        <w:t xml:space="preserve">О возврате </w:t>
      </w:r>
      <w:r>
        <w:rPr>
          <w:b/>
          <w:bCs/>
        </w:rPr>
        <w:t>заявки</w:t>
      </w:r>
    </w:p>
    <w:p w14:paraId="289DAD0C" w14:textId="77777777" w:rsidR="002976E9" w:rsidRPr="00B73824" w:rsidRDefault="002976E9" w:rsidP="002976E9">
      <w:pPr>
        <w:rPr>
          <w:b/>
          <w:bCs/>
        </w:rPr>
      </w:pPr>
    </w:p>
    <w:p w14:paraId="44047755" w14:textId="77777777" w:rsidR="002976E9" w:rsidRPr="00B73824" w:rsidRDefault="002976E9" w:rsidP="002976E9">
      <w:pPr>
        <w:rPr>
          <w:b/>
          <w:bCs/>
        </w:rPr>
      </w:pPr>
    </w:p>
    <w:p w14:paraId="7A62C6C6" w14:textId="469C6186" w:rsidR="002976E9" w:rsidRDefault="002976E9" w:rsidP="002976E9">
      <w:pPr>
        <w:jc w:val="center"/>
        <w:rPr>
          <w:b/>
          <w:bCs/>
        </w:rPr>
      </w:pPr>
      <w:r w:rsidRPr="00B73824">
        <w:rPr>
          <w:b/>
          <w:bCs/>
        </w:rPr>
        <w:t>Уважаемый Дмитрий Михайлович!</w:t>
      </w:r>
    </w:p>
    <w:p w14:paraId="785634A8" w14:textId="77777777" w:rsidR="002976E9" w:rsidRDefault="002976E9" w:rsidP="002976E9">
      <w:pPr>
        <w:jc w:val="center"/>
        <w:rPr>
          <w:b/>
          <w:bCs/>
        </w:rPr>
      </w:pPr>
    </w:p>
    <w:p w14:paraId="3A70A466" w14:textId="77777777" w:rsidR="002976E9" w:rsidRDefault="002976E9" w:rsidP="002976E9">
      <w:pPr>
        <w:jc w:val="center"/>
        <w:rPr>
          <w:b/>
          <w:bCs/>
        </w:rPr>
      </w:pPr>
    </w:p>
    <w:p w14:paraId="0E5FAA4F" w14:textId="2008EBFC" w:rsidR="002976E9" w:rsidRPr="00B73824" w:rsidRDefault="002976E9" w:rsidP="002976E9">
      <w:pPr>
        <w:ind w:firstLine="708"/>
        <w:jc w:val="both"/>
        <w:rPr>
          <w:szCs w:val="28"/>
        </w:rPr>
      </w:pPr>
      <w:r w:rsidRPr="00B73824">
        <w:rPr>
          <w:szCs w:val="28"/>
        </w:rPr>
        <w:t xml:space="preserve">В управление муниципального заказа администрации города Белгорода поступила заявка на проведение открытого конкурса в электронной </w:t>
      </w:r>
      <w:r w:rsidRPr="00B73824">
        <w:rPr>
          <w:szCs w:val="28"/>
        </w:rPr>
        <w:t>форме на</w:t>
      </w:r>
      <w:r w:rsidRPr="00B73824">
        <w:rPr>
          <w:szCs w:val="28"/>
        </w:rPr>
        <w:t xml:space="preserve"> Выполнение подрядных работ: "Капитальный ремонт сети автомобильных дорог общего пользования местного значения:</w:t>
      </w:r>
      <w:r>
        <w:rPr>
          <w:szCs w:val="28"/>
        </w:rPr>
        <w:t xml:space="preserve"> </w:t>
      </w:r>
      <w:r w:rsidRPr="00B73824">
        <w:rPr>
          <w:szCs w:val="28"/>
        </w:rPr>
        <w:t>Капитальный ремонт автодороги по ул. Северо-донецкая от ул. Волчанская до центрального пляжа в г. Белгороде;</w:t>
      </w:r>
      <w:r>
        <w:rPr>
          <w:szCs w:val="28"/>
        </w:rPr>
        <w:t xml:space="preserve"> </w:t>
      </w:r>
      <w:r w:rsidRPr="00B73824">
        <w:rPr>
          <w:szCs w:val="28"/>
        </w:rPr>
        <w:t>Капитальный ремонт ул. Преображенская в г. Белгороде".</w:t>
      </w:r>
    </w:p>
    <w:p w14:paraId="07155698" w14:textId="77777777" w:rsidR="002976E9" w:rsidRDefault="002976E9" w:rsidP="002976E9">
      <w:pPr>
        <w:jc w:val="both"/>
        <w:rPr>
          <w:b/>
          <w:bCs/>
        </w:rPr>
      </w:pPr>
      <w:r w:rsidRPr="00B73824">
        <w:rPr>
          <w:szCs w:val="28"/>
        </w:rPr>
        <w:tab/>
        <w:t>Управлением, в соответствии Порядком взаимодействия заказчиков и органа, уполномоченного на определение поставщиков (подрядчиков, исполнителей) для заказчиков городского округа «Город Белгород», утверждённого решением Совета депутатов города Белгорода от 23.12.2013 года № 50, проведена экспертиза документов и информации для проведения закупки. По результатам проведенной экспертизы заявка подлежит возврату.</w:t>
      </w:r>
    </w:p>
    <w:p w14:paraId="58A7BA0B" w14:textId="1151E025" w:rsidR="002976E9" w:rsidRPr="008C22CE" w:rsidRDefault="002976E9" w:rsidP="002976E9">
      <w:pPr>
        <w:autoSpaceDE w:val="0"/>
        <w:autoSpaceDN w:val="0"/>
        <w:adjustRightInd w:val="0"/>
        <w:jc w:val="both"/>
        <w:rPr>
          <w:szCs w:val="28"/>
        </w:rPr>
      </w:pPr>
      <w:r w:rsidRPr="008C22CE">
        <w:rPr>
          <w:szCs w:val="28"/>
        </w:rPr>
        <w:t xml:space="preserve">    </w:t>
      </w:r>
      <w:r>
        <w:rPr>
          <w:szCs w:val="28"/>
        </w:rPr>
        <w:t xml:space="preserve">    </w:t>
      </w:r>
      <w:r w:rsidRPr="008C22CE">
        <w:rPr>
          <w:szCs w:val="28"/>
        </w:rPr>
        <w:t xml:space="preserve">1.Обращаем ваше внимание на наличие в условиях закупки признаков ограничения конкуренции. Согласно положениям ст.8 ФЗ-44 «запрещается совершение заказчиками… любых действий, которые приводят к ограничению конкуренции, в частности к необоснованному ограничению числа участников закупок». Объединяя в одну закупку капитальные ремонты автодорог ул. Северо-донецкая и Преображенская, находящихся в разных концах города, вы уменьшаете количество потенциальных участников закупки. Участники закупки, не имеющие возможность своими силами осуществить такой ремонт в относительно короткие сроки, могут привлечь субподрядчиков, но это не приведет к более качественному и гарантированному осуществлению ремонта в установленные сроки, так как такие субподрядчики, как правило, не являются членами СРО и не обладают надлежащим опытом. Увеличивая объем работ в </w:t>
      </w:r>
      <w:r w:rsidRPr="008C22CE">
        <w:rPr>
          <w:szCs w:val="28"/>
        </w:rPr>
        <w:lastRenderedPageBreak/>
        <w:t>закупке, заказчик фактически увеличивает риск некачественно выполняемой работы на объектах ремонта.</w:t>
      </w:r>
    </w:p>
    <w:p w14:paraId="4CA16CAA" w14:textId="77777777" w:rsidR="002976E9" w:rsidRPr="008C22CE" w:rsidRDefault="002976E9" w:rsidP="002976E9">
      <w:pPr>
        <w:autoSpaceDE w:val="0"/>
        <w:autoSpaceDN w:val="0"/>
        <w:adjustRightInd w:val="0"/>
        <w:jc w:val="both"/>
        <w:rPr>
          <w:szCs w:val="28"/>
        </w:rPr>
      </w:pPr>
      <w:r w:rsidRPr="008C22CE">
        <w:rPr>
          <w:szCs w:val="28"/>
        </w:rPr>
        <w:t xml:space="preserve">  </w:t>
      </w:r>
      <w:r>
        <w:rPr>
          <w:szCs w:val="28"/>
        </w:rPr>
        <w:t xml:space="preserve">       </w:t>
      </w:r>
      <w:r w:rsidRPr="008C22CE">
        <w:rPr>
          <w:szCs w:val="28"/>
        </w:rPr>
        <w:t>2. Объединение в одной закупке капитального ремонта двух дорог является неправомерным по следующим основаниям:</w:t>
      </w:r>
    </w:p>
    <w:p w14:paraId="67D28AB9" w14:textId="77777777" w:rsidR="002976E9" w:rsidRPr="008C22CE" w:rsidRDefault="002976E9" w:rsidP="002976E9">
      <w:pPr>
        <w:autoSpaceDE w:val="0"/>
        <w:autoSpaceDN w:val="0"/>
        <w:adjustRightInd w:val="0"/>
        <w:ind w:firstLine="708"/>
        <w:jc w:val="both"/>
        <w:rPr>
          <w:szCs w:val="28"/>
        </w:rPr>
      </w:pPr>
      <w:r w:rsidRPr="008C22CE">
        <w:rPr>
          <w:szCs w:val="28"/>
        </w:rPr>
        <w:t>- дороги существенно удалены друг от друга, не являются пересекающимися или еще как-либо связанными друг с другом;</w:t>
      </w:r>
    </w:p>
    <w:p w14:paraId="1320DAAA" w14:textId="77777777" w:rsidR="002976E9" w:rsidRPr="008C22CE" w:rsidRDefault="002976E9" w:rsidP="002976E9">
      <w:pPr>
        <w:autoSpaceDE w:val="0"/>
        <w:autoSpaceDN w:val="0"/>
        <w:adjustRightInd w:val="0"/>
        <w:ind w:firstLine="708"/>
        <w:jc w:val="both"/>
        <w:rPr>
          <w:szCs w:val="28"/>
        </w:rPr>
      </w:pPr>
      <w:r w:rsidRPr="008C22CE">
        <w:rPr>
          <w:szCs w:val="28"/>
        </w:rPr>
        <w:t>- в описании объекта закупки присутствуют две самостоятельные сметы на проведение капитального ремонта каждой из дорог, что позволяет разделить эти работы без дополнительных затрат со стороны заказчика (сводные сметные расчеты также составлены для каждой из них индивидуально);</w:t>
      </w:r>
    </w:p>
    <w:p w14:paraId="6E715E1B" w14:textId="77777777" w:rsidR="002976E9" w:rsidRPr="008C22CE" w:rsidRDefault="002976E9" w:rsidP="002976E9">
      <w:pPr>
        <w:autoSpaceDE w:val="0"/>
        <w:autoSpaceDN w:val="0"/>
        <w:adjustRightInd w:val="0"/>
        <w:ind w:firstLine="708"/>
        <w:jc w:val="both"/>
        <w:rPr>
          <w:szCs w:val="28"/>
        </w:rPr>
      </w:pPr>
      <w:r w:rsidRPr="008C22CE">
        <w:rPr>
          <w:szCs w:val="28"/>
        </w:rPr>
        <w:t xml:space="preserve">- отсутствует технологическая или функциональная связь между работами по капитальному ремонту каждой из </w:t>
      </w:r>
      <w:r>
        <w:rPr>
          <w:szCs w:val="28"/>
        </w:rPr>
        <w:t>авто</w:t>
      </w:r>
      <w:r w:rsidRPr="008C22CE">
        <w:rPr>
          <w:szCs w:val="28"/>
        </w:rPr>
        <w:t>дорог;</w:t>
      </w:r>
    </w:p>
    <w:p w14:paraId="0E343469" w14:textId="77777777" w:rsidR="002976E9" w:rsidRPr="008C22CE" w:rsidRDefault="002976E9" w:rsidP="002976E9">
      <w:pPr>
        <w:autoSpaceDE w:val="0"/>
        <w:autoSpaceDN w:val="0"/>
        <w:adjustRightInd w:val="0"/>
        <w:ind w:firstLine="708"/>
        <w:jc w:val="both"/>
        <w:rPr>
          <w:szCs w:val="28"/>
        </w:rPr>
      </w:pPr>
      <w:r w:rsidRPr="008C22CE">
        <w:rPr>
          <w:szCs w:val="28"/>
        </w:rPr>
        <w:t xml:space="preserve">- размер обеспечения заявки и контракта определены исходя из НМЦК неправомерно укрупненного лота, что является существенным ограничением для участия в закупке организаций, не имеющих возможности предоставить единоразово обеспечение в таком размере. </w:t>
      </w:r>
    </w:p>
    <w:p w14:paraId="03CB6AB4" w14:textId="2B51A76D" w:rsidR="002976E9" w:rsidRPr="008C22CE" w:rsidRDefault="002976E9" w:rsidP="002976E9">
      <w:pPr>
        <w:autoSpaceDE w:val="0"/>
        <w:autoSpaceDN w:val="0"/>
        <w:adjustRightInd w:val="0"/>
        <w:jc w:val="both"/>
        <w:rPr>
          <w:szCs w:val="28"/>
        </w:rPr>
      </w:pPr>
      <w:r w:rsidRPr="008C22CE">
        <w:rPr>
          <w:szCs w:val="28"/>
        </w:rPr>
        <w:t xml:space="preserve">     </w:t>
      </w:r>
      <w:r>
        <w:rPr>
          <w:szCs w:val="28"/>
        </w:rPr>
        <w:t xml:space="preserve">     </w:t>
      </w:r>
      <w:r w:rsidRPr="008C22CE">
        <w:rPr>
          <w:szCs w:val="28"/>
        </w:rPr>
        <w:t xml:space="preserve">Укрупнение лота данной закупки является необоснованным, а значит – </w:t>
      </w:r>
      <w:r w:rsidRPr="008C22CE">
        <w:rPr>
          <w:szCs w:val="28"/>
        </w:rPr>
        <w:t>неправомерным, что</w:t>
      </w:r>
      <w:r w:rsidRPr="008C22CE">
        <w:rPr>
          <w:szCs w:val="28"/>
        </w:rPr>
        <w:t xml:space="preserve"> приводит к ограничению конкуренции и нарушению </w:t>
      </w:r>
      <w:r w:rsidRPr="008C22CE">
        <w:rPr>
          <w:szCs w:val="28"/>
        </w:rPr>
        <w:t>требований ст.8 ФЗ</w:t>
      </w:r>
      <w:r w:rsidRPr="008C22CE">
        <w:rPr>
          <w:szCs w:val="28"/>
        </w:rPr>
        <w:t>-</w:t>
      </w:r>
      <w:r w:rsidRPr="008C22CE">
        <w:rPr>
          <w:szCs w:val="28"/>
        </w:rPr>
        <w:t>44, ч.2</w:t>
      </w:r>
      <w:r w:rsidRPr="008C22CE">
        <w:rPr>
          <w:szCs w:val="28"/>
        </w:rPr>
        <w:t xml:space="preserve"> и 3 ст.17 ФЗ-135. </w:t>
      </w:r>
    </w:p>
    <w:p w14:paraId="2DC9249A" w14:textId="77777777" w:rsidR="002976E9" w:rsidRPr="008C22CE" w:rsidRDefault="002976E9" w:rsidP="002976E9">
      <w:pPr>
        <w:autoSpaceDE w:val="0"/>
        <w:autoSpaceDN w:val="0"/>
        <w:adjustRightInd w:val="0"/>
        <w:ind w:firstLine="708"/>
        <w:jc w:val="both"/>
        <w:rPr>
          <w:szCs w:val="28"/>
        </w:rPr>
      </w:pPr>
      <w:r w:rsidRPr="008C22CE">
        <w:rPr>
          <w:szCs w:val="28"/>
        </w:rPr>
        <w:t>3. В критериях оценки раздел III п.2.3 среди документов, подтверждающих наличие требуемого оборудования, указаны документы по объектам недвижимости: выписка из ЕГРН и т.п.</w:t>
      </w:r>
    </w:p>
    <w:p w14:paraId="188DFE0A" w14:textId="77777777" w:rsidR="002976E9" w:rsidRPr="008C22CE" w:rsidRDefault="002976E9" w:rsidP="002976E9">
      <w:pPr>
        <w:autoSpaceDE w:val="0"/>
        <w:autoSpaceDN w:val="0"/>
        <w:adjustRightInd w:val="0"/>
        <w:jc w:val="both"/>
        <w:rPr>
          <w:szCs w:val="28"/>
        </w:rPr>
      </w:pPr>
      <w:r w:rsidRPr="008C22CE">
        <w:rPr>
          <w:szCs w:val="28"/>
        </w:rPr>
        <w:t xml:space="preserve">     </w:t>
      </w:r>
      <w:r>
        <w:rPr>
          <w:szCs w:val="28"/>
        </w:rPr>
        <w:tab/>
      </w:r>
      <w:r w:rsidRPr="008C22CE">
        <w:rPr>
          <w:szCs w:val="28"/>
        </w:rPr>
        <w:t>При этом вы не требуете в разделе II п.2 для оценки квалификации наличия объектов недвижимости у участника (только оборудование), поэтому требование документов по подтверждению прав на недвижимость у участника в разделе III не обосновано.</w:t>
      </w:r>
    </w:p>
    <w:p w14:paraId="1A579429" w14:textId="77777777" w:rsidR="002976E9" w:rsidRPr="008C22CE" w:rsidRDefault="002976E9" w:rsidP="002976E9">
      <w:pPr>
        <w:jc w:val="center"/>
        <w:rPr>
          <w:b/>
          <w:bCs/>
          <w:szCs w:val="28"/>
        </w:rPr>
      </w:pPr>
    </w:p>
    <w:p w14:paraId="11A19FA1" w14:textId="00759625" w:rsidR="00C653C7" w:rsidRDefault="00C653C7" w:rsidP="00C653C7">
      <w:pPr>
        <w:pStyle w:val="Style5"/>
        <w:spacing w:line="240" w:lineRule="auto"/>
        <w:ind w:firstLine="0"/>
        <w:jc w:val="both"/>
        <w:rPr>
          <w:sz w:val="28"/>
          <w:szCs w:val="28"/>
        </w:rPr>
      </w:pPr>
    </w:p>
    <w:p w14:paraId="3A0DB4D3" w14:textId="77777777" w:rsidR="00C653C7" w:rsidRPr="00C653C7" w:rsidRDefault="00C653C7" w:rsidP="00C653C7">
      <w:pPr>
        <w:pStyle w:val="Style5"/>
        <w:spacing w:line="240" w:lineRule="auto"/>
        <w:ind w:firstLine="0"/>
        <w:jc w:val="both"/>
        <w:rPr>
          <w:sz w:val="28"/>
          <w:szCs w:val="28"/>
        </w:rPr>
      </w:pPr>
    </w:p>
    <w:tbl>
      <w:tblPr>
        <w:tblW w:w="9618" w:type="dxa"/>
        <w:tblLayout w:type="fixed"/>
        <w:tblCellMar>
          <w:left w:w="0" w:type="dxa"/>
          <w:right w:w="0" w:type="dxa"/>
        </w:tblCellMar>
        <w:tblLook w:val="0000" w:firstRow="0" w:lastRow="0" w:firstColumn="0" w:lastColumn="0" w:noHBand="0" w:noVBand="0"/>
      </w:tblPr>
      <w:tblGrid>
        <w:gridCol w:w="5103"/>
        <w:gridCol w:w="1387"/>
        <w:gridCol w:w="3128"/>
      </w:tblGrid>
      <w:tr w:rsidR="000A7335" w14:paraId="59B59A28" w14:textId="77777777">
        <w:trPr>
          <w:trHeight w:val="1698"/>
        </w:trPr>
        <w:tc>
          <w:tcPr>
            <w:tcW w:w="5103" w:type="dxa"/>
            <w:shd w:val="clear" w:color="auto" w:fill="auto"/>
            <w:vAlign w:val="center"/>
          </w:tcPr>
          <w:p w14:paraId="2F08A131" w14:textId="77777777" w:rsidR="000A7335" w:rsidRDefault="00A27F8C">
            <w:pPr>
              <w:ind w:firstLine="709"/>
              <w:rPr>
                <w:b/>
                <w:szCs w:val="28"/>
              </w:rPr>
            </w:pPr>
            <w:r>
              <w:rPr>
                <w:b/>
                <w:szCs w:val="28"/>
              </w:rPr>
              <w:t>С уважением,</w:t>
            </w:r>
          </w:p>
        </w:tc>
        <w:tc>
          <w:tcPr>
            <w:tcW w:w="4515" w:type="dxa"/>
            <w:gridSpan w:val="2"/>
          </w:tcPr>
          <w:p w14:paraId="791C9CBB" w14:textId="77777777" w:rsidR="000A7335" w:rsidRDefault="00A27F8C">
            <w:pPr>
              <w:rPr>
                <w:color w:val="000000"/>
                <w:szCs w:val="28"/>
                <w:lang w:val="en-US"/>
              </w:rPr>
            </w:pPr>
            <w:bookmarkStart w:id="2" w:name="SIGNERSTAMP1"/>
            <w:r>
              <w:rPr>
                <w:color w:val="FF0000"/>
                <w:szCs w:val="28"/>
                <w:lang w:val="en-US"/>
              </w:rPr>
              <w:t>[</w:t>
            </w:r>
            <w:proofErr w:type="spellStart"/>
            <w:r>
              <w:rPr>
                <w:color w:val="FF0000"/>
                <w:szCs w:val="28"/>
              </w:rPr>
              <w:t>Авто_Штамп_ЭП</w:t>
            </w:r>
            <w:proofErr w:type="spellEnd"/>
            <w:r>
              <w:rPr>
                <w:color w:val="FF0000"/>
                <w:szCs w:val="28"/>
              </w:rPr>
              <w:t>]</w:t>
            </w:r>
            <w:bookmarkEnd w:id="2"/>
          </w:p>
        </w:tc>
      </w:tr>
      <w:tr w:rsidR="000A7335" w14:paraId="4FA0374A" w14:textId="77777777">
        <w:trPr>
          <w:trHeight w:val="677"/>
        </w:trPr>
        <w:tc>
          <w:tcPr>
            <w:tcW w:w="6490" w:type="dxa"/>
            <w:gridSpan w:val="2"/>
            <w:shd w:val="clear" w:color="auto" w:fill="auto"/>
            <w:vAlign w:val="bottom"/>
          </w:tcPr>
          <w:p w14:paraId="26E7E3D9" w14:textId="77777777" w:rsidR="000A7335" w:rsidRDefault="00A27F8C">
            <w:pPr>
              <w:rPr>
                <w:b/>
                <w:color w:val="FF0000"/>
                <w:szCs w:val="28"/>
                <w:lang w:val="en-US"/>
              </w:rPr>
            </w:pPr>
            <w:bookmarkStart w:id="3" w:name="SIGNERPOST1"/>
            <w:r>
              <w:rPr>
                <w:b/>
                <w:szCs w:val="28"/>
                <w:lang w:val="en-US"/>
              </w:rPr>
              <w:t>[</w:t>
            </w:r>
            <w:proofErr w:type="spellStart"/>
            <w:r>
              <w:rPr>
                <w:b/>
                <w:szCs w:val="28"/>
              </w:rPr>
              <w:t>Авто_Должность</w:t>
            </w:r>
            <w:proofErr w:type="spellEnd"/>
            <w:r>
              <w:rPr>
                <w:b/>
                <w:szCs w:val="28"/>
                <w:lang w:val="en-US"/>
              </w:rPr>
              <w:t>]</w:t>
            </w:r>
            <w:bookmarkEnd w:id="3"/>
          </w:p>
        </w:tc>
        <w:tc>
          <w:tcPr>
            <w:tcW w:w="3128" w:type="dxa"/>
            <w:shd w:val="clear" w:color="auto" w:fill="auto"/>
            <w:vAlign w:val="bottom"/>
          </w:tcPr>
          <w:p w14:paraId="291CC437" w14:textId="77777777" w:rsidR="000A7335" w:rsidRDefault="00A27F8C">
            <w:pPr>
              <w:jc w:val="right"/>
              <w:rPr>
                <w:b/>
                <w:szCs w:val="28"/>
              </w:rPr>
            </w:pPr>
            <w:bookmarkStart w:id="4" w:name="SIGNERNAME1"/>
            <w:r>
              <w:rPr>
                <w:b/>
                <w:szCs w:val="28"/>
              </w:rPr>
              <w:t>[</w:t>
            </w:r>
            <w:proofErr w:type="spellStart"/>
            <w:r>
              <w:rPr>
                <w:b/>
                <w:szCs w:val="28"/>
              </w:rPr>
              <w:t>Авто</w:t>
            </w:r>
            <w:r>
              <w:rPr>
                <w:b/>
                <w:color w:val="000000"/>
                <w:szCs w:val="28"/>
              </w:rPr>
              <w:t>_Ф.И.О</w:t>
            </w:r>
            <w:proofErr w:type="spellEnd"/>
            <w:r>
              <w:rPr>
                <w:b/>
                <w:color w:val="000000"/>
                <w:szCs w:val="28"/>
              </w:rPr>
              <w:t>.</w:t>
            </w:r>
            <w:r>
              <w:rPr>
                <w:b/>
                <w:color w:val="000000"/>
                <w:szCs w:val="28"/>
                <w:lang w:val="en-US"/>
              </w:rPr>
              <w:t>]</w:t>
            </w:r>
            <w:bookmarkEnd w:id="4"/>
          </w:p>
        </w:tc>
      </w:tr>
    </w:tbl>
    <w:p w14:paraId="5075EC65" w14:textId="3ADEE303" w:rsidR="000A7335" w:rsidRDefault="000A7335">
      <w:pPr>
        <w:pStyle w:val="Style5"/>
        <w:tabs>
          <w:tab w:val="left" w:pos="684"/>
        </w:tabs>
        <w:spacing w:line="240" w:lineRule="auto"/>
        <w:ind w:firstLine="0"/>
        <w:jc w:val="both"/>
        <w:rPr>
          <w:sz w:val="28"/>
          <w:szCs w:val="28"/>
        </w:rPr>
      </w:pPr>
    </w:p>
    <w:p w14:paraId="13B7BFA9" w14:textId="0B407A82" w:rsidR="00C653C7" w:rsidRDefault="00C653C7">
      <w:pPr>
        <w:pStyle w:val="Style5"/>
        <w:tabs>
          <w:tab w:val="left" w:pos="684"/>
        </w:tabs>
        <w:spacing w:line="240" w:lineRule="auto"/>
        <w:ind w:firstLine="0"/>
        <w:jc w:val="both"/>
        <w:rPr>
          <w:sz w:val="28"/>
          <w:szCs w:val="28"/>
        </w:rPr>
      </w:pPr>
    </w:p>
    <w:p w14:paraId="74A9DCF9" w14:textId="338F3937" w:rsidR="00C653C7" w:rsidRDefault="00C653C7">
      <w:pPr>
        <w:pStyle w:val="Style5"/>
        <w:tabs>
          <w:tab w:val="left" w:pos="684"/>
        </w:tabs>
        <w:spacing w:line="240" w:lineRule="auto"/>
        <w:ind w:firstLine="0"/>
        <w:jc w:val="both"/>
        <w:rPr>
          <w:sz w:val="28"/>
          <w:szCs w:val="28"/>
        </w:rPr>
      </w:pPr>
    </w:p>
    <w:p w14:paraId="1892B718" w14:textId="4F86CB77" w:rsidR="00C653C7" w:rsidRDefault="00C653C7">
      <w:pPr>
        <w:pStyle w:val="Style5"/>
        <w:tabs>
          <w:tab w:val="left" w:pos="684"/>
        </w:tabs>
        <w:spacing w:line="240" w:lineRule="auto"/>
        <w:ind w:firstLine="0"/>
        <w:jc w:val="both"/>
        <w:rPr>
          <w:sz w:val="28"/>
          <w:szCs w:val="28"/>
        </w:rPr>
      </w:pPr>
    </w:p>
    <w:p w14:paraId="7EEC3BB0" w14:textId="7DD93B80" w:rsidR="00E33250" w:rsidRDefault="00E33250"/>
    <w:p w14:paraId="390C2994" w14:textId="77777777" w:rsidR="000A7335" w:rsidRDefault="00A27F8C">
      <w:pPr>
        <w:rPr>
          <w:color w:val="000000" w:themeColor="text1"/>
          <w:sz w:val="22"/>
          <w:lang w:val="en-US"/>
        </w:rPr>
      </w:pPr>
      <w:bookmarkStart w:id="5" w:name="EXECUTOR_LN"/>
      <w:r>
        <w:rPr>
          <w:color w:val="000000" w:themeColor="text1"/>
          <w:sz w:val="22"/>
          <w:lang w:val="en-US"/>
        </w:rPr>
        <w:t>[</w:t>
      </w:r>
      <w:r>
        <w:rPr>
          <w:color w:val="000000" w:themeColor="text1"/>
          <w:sz w:val="22"/>
        </w:rPr>
        <w:t>Авто исполнитель</w:t>
      </w:r>
      <w:r>
        <w:rPr>
          <w:color w:val="000000" w:themeColor="text1"/>
          <w:sz w:val="22"/>
          <w:lang w:val="en-US"/>
        </w:rPr>
        <w:t>]</w:t>
      </w:r>
      <w:bookmarkEnd w:id="5"/>
    </w:p>
    <w:sectPr w:rsidR="000A7335" w:rsidSect="004C6099">
      <w:headerReference w:type="default" r:id="rId11"/>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9EF25" w14:textId="77777777" w:rsidR="00113671" w:rsidRDefault="00113671">
      <w:r>
        <w:separator/>
      </w:r>
    </w:p>
  </w:endnote>
  <w:endnote w:type="continuationSeparator" w:id="0">
    <w:p w14:paraId="226C67EF" w14:textId="77777777" w:rsidR="00113671" w:rsidRDefault="0011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685C8" w14:textId="77777777" w:rsidR="00113671" w:rsidRDefault="00113671">
      <w:r>
        <w:separator/>
      </w:r>
    </w:p>
  </w:footnote>
  <w:footnote w:type="continuationSeparator" w:id="0">
    <w:p w14:paraId="59428BB1" w14:textId="77777777" w:rsidR="00113671" w:rsidRDefault="00113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158951"/>
      <w:docPartObj>
        <w:docPartGallery w:val="Page Numbers (Top of Page)"/>
        <w:docPartUnique/>
      </w:docPartObj>
    </w:sdtPr>
    <w:sdtEndPr/>
    <w:sdtContent>
      <w:p w14:paraId="1361B7AE" w14:textId="77777777" w:rsidR="000A7335" w:rsidRDefault="00A27F8C">
        <w:pPr>
          <w:pStyle w:val="afe"/>
          <w:jc w:val="center"/>
        </w:pPr>
        <w:r>
          <w:fldChar w:fldCharType="begin"/>
        </w:r>
        <w:r>
          <w:instrText>PAGE   \* MERGEFORMAT</w:instrText>
        </w:r>
        <w:r>
          <w:fldChar w:fldCharType="separate"/>
        </w:r>
        <w:r>
          <w:t>2</w:t>
        </w:r>
        <w:r>
          <w:fldChar w:fldCharType="end"/>
        </w:r>
      </w:p>
    </w:sdtContent>
  </w:sdt>
  <w:p w14:paraId="26D03CE5" w14:textId="77777777" w:rsidR="000A7335" w:rsidRDefault="000A7335">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903ED"/>
    <w:multiLevelType w:val="hybridMultilevel"/>
    <w:tmpl w:val="84F670E8"/>
    <w:lvl w:ilvl="0" w:tplc="E5BCFC7C">
      <w:start w:val="1"/>
      <w:numFmt w:val="decimal"/>
      <w:lvlText w:val="%1)"/>
      <w:lvlJc w:val="left"/>
      <w:pPr>
        <w:ind w:left="1068" w:hanging="360"/>
      </w:pPr>
      <w:rPr>
        <w:rFonts w:hint="default"/>
      </w:rPr>
    </w:lvl>
    <w:lvl w:ilvl="1" w:tplc="AC7CA398">
      <w:start w:val="1"/>
      <w:numFmt w:val="lowerLetter"/>
      <w:lvlText w:val="%2."/>
      <w:lvlJc w:val="left"/>
      <w:pPr>
        <w:ind w:left="1788" w:hanging="360"/>
      </w:pPr>
    </w:lvl>
    <w:lvl w:ilvl="2" w:tplc="A65EDB0C">
      <w:start w:val="1"/>
      <w:numFmt w:val="lowerRoman"/>
      <w:lvlText w:val="%3."/>
      <w:lvlJc w:val="right"/>
      <w:pPr>
        <w:ind w:left="2508" w:hanging="180"/>
      </w:pPr>
    </w:lvl>
    <w:lvl w:ilvl="3" w:tplc="ED8E0104">
      <w:start w:val="1"/>
      <w:numFmt w:val="decimal"/>
      <w:lvlText w:val="%4."/>
      <w:lvlJc w:val="left"/>
      <w:pPr>
        <w:ind w:left="3228" w:hanging="360"/>
      </w:pPr>
    </w:lvl>
    <w:lvl w:ilvl="4" w:tplc="31668276">
      <w:start w:val="1"/>
      <w:numFmt w:val="lowerLetter"/>
      <w:lvlText w:val="%5."/>
      <w:lvlJc w:val="left"/>
      <w:pPr>
        <w:ind w:left="3948" w:hanging="360"/>
      </w:pPr>
    </w:lvl>
    <w:lvl w:ilvl="5" w:tplc="5A5AB59C">
      <w:start w:val="1"/>
      <w:numFmt w:val="lowerRoman"/>
      <w:lvlText w:val="%6."/>
      <w:lvlJc w:val="right"/>
      <w:pPr>
        <w:ind w:left="4668" w:hanging="180"/>
      </w:pPr>
    </w:lvl>
    <w:lvl w:ilvl="6" w:tplc="A9A25140">
      <w:start w:val="1"/>
      <w:numFmt w:val="decimal"/>
      <w:lvlText w:val="%7."/>
      <w:lvlJc w:val="left"/>
      <w:pPr>
        <w:ind w:left="5388" w:hanging="360"/>
      </w:pPr>
    </w:lvl>
    <w:lvl w:ilvl="7" w:tplc="6AB2BAC2">
      <w:start w:val="1"/>
      <w:numFmt w:val="lowerLetter"/>
      <w:lvlText w:val="%8."/>
      <w:lvlJc w:val="left"/>
      <w:pPr>
        <w:ind w:left="6108" w:hanging="360"/>
      </w:pPr>
    </w:lvl>
    <w:lvl w:ilvl="8" w:tplc="4B4C1F6C">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335"/>
    <w:rsid w:val="0003115C"/>
    <w:rsid w:val="000A7335"/>
    <w:rsid w:val="00113671"/>
    <w:rsid w:val="001138F8"/>
    <w:rsid w:val="00172CB8"/>
    <w:rsid w:val="00245C67"/>
    <w:rsid w:val="002976E9"/>
    <w:rsid w:val="002B38C6"/>
    <w:rsid w:val="00307B0F"/>
    <w:rsid w:val="003F7977"/>
    <w:rsid w:val="004C6099"/>
    <w:rsid w:val="00505629"/>
    <w:rsid w:val="005751BC"/>
    <w:rsid w:val="00575985"/>
    <w:rsid w:val="00621D97"/>
    <w:rsid w:val="00630BBE"/>
    <w:rsid w:val="007B0B0A"/>
    <w:rsid w:val="00946B8F"/>
    <w:rsid w:val="0096780B"/>
    <w:rsid w:val="00976C9C"/>
    <w:rsid w:val="00A27F8C"/>
    <w:rsid w:val="00A32EF6"/>
    <w:rsid w:val="00AD234F"/>
    <w:rsid w:val="00AD29A7"/>
    <w:rsid w:val="00B4516A"/>
    <w:rsid w:val="00B605C8"/>
    <w:rsid w:val="00C653C7"/>
    <w:rsid w:val="00CA64BD"/>
    <w:rsid w:val="00D839C3"/>
    <w:rsid w:val="00E33250"/>
    <w:rsid w:val="00E95BAE"/>
    <w:rsid w:val="00EE3A1E"/>
    <w:rsid w:val="00FE0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1E7C6"/>
  <w15:docId w15:val="{3A3318AC-EC6F-4CC3-869E-62FC92C4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pPr>
      <w:keepNext/>
      <w:widowControl w:val="0"/>
      <w:shd w:val="clear" w:color="auto" w:fill="FFFFFF"/>
      <w:spacing w:line="302" w:lineRule="exact"/>
      <w:ind w:left="1094"/>
      <w:outlineLvl w:val="0"/>
    </w:pPr>
    <w:rPr>
      <w:b/>
      <w:bCs/>
      <w:color w:val="000000"/>
      <w:spacing w:val="-4"/>
      <w:szCs w:val="26"/>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character" w:styleId="af3">
    <w:name w:val="Hyperlink"/>
    <w:unhideWhenUsed/>
    <w:rPr>
      <w:color w:val="0000FF"/>
      <w:u w:val="single"/>
    </w:rPr>
  </w:style>
  <w:style w:type="paragraph" w:styleId="af4">
    <w:name w:val="Balloon Text"/>
    <w:basedOn w:val="a"/>
    <w:link w:val="af5"/>
    <w:uiPriority w:val="99"/>
    <w:semiHidden/>
    <w:unhideWhenUsed/>
    <w:rPr>
      <w:rFonts w:ascii="Segoe UI" w:hAnsi="Segoe UI" w:cs="Segoe UI"/>
      <w:sz w:val="18"/>
      <w:szCs w:val="18"/>
    </w:rPr>
  </w:style>
  <w:style w:type="character" w:customStyle="1" w:styleId="af5">
    <w:name w:val="Текст выноски Знак"/>
    <w:basedOn w:val="a0"/>
    <w:link w:val="af4"/>
    <w:uiPriority w:val="99"/>
    <w:semiHidden/>
    <w:rPr>
      <w:rFonts w:ascii="Segoe UI" w:eastAsia="Times New Roman" w:hAnsi="Segoe UI" w:cs="Segoe UI"/>
      <w:sz w:val="18"/>
      <w:szCs w:val="18"/>
      <w:lang w:eastAsia="ru-RU"/>
    </w:rPr>
  </w:style>
  <w:style w:type="paragraph" w:styleId="af6">
    <w:name w:val="Body Text"/>
    <w:basedOn w:val="a"/>
    <w:link w:val="af7"/>
    <w:pPr>
      <w:jc w:val="center"/>
    </w:pPr>
    <w:rPr>
      <w:b/>
      <w:bCs/>
      <w:caps/>
    </w:rPr>
  </w:style>
  <w:style w:type="character" w:customStyle="1" w:styleId="af7">
    <w:name w:val="Основной текст Знак"/>
    <w:basedOn w:val="a0"/>
    <w:link w:val="af6"/>
    <w:rPr>
      <w:rFonts w:ascii="Times New Roman" w:eastAsia="Times New Roman" w:hAnsi="Times New Roman" w:cs="Times New Roman"/>
      <w:b/>
      <w:bCs/>
      <w:caps/>
      <w:sz w:val="28"/>
      <w:szCs w:val="24"/>
      <w:lang w:eastAsia="ru-RU"/>
    </w:rPr>
  </w:style>
  <w:style w:type="character" w:styleId="af8">
    <w:name w:val="annotation reference"/>
    <w:basedOn w:val="a0"/>
    <w:uiPriority w:val="99"/>
    <w:semiHidden/>
    <w:unhideWhenUsed/>
    <w:rPr>
      <w:sz w:val="16"/>
      <w:szCs w:val="16"/>
    </w:rPr>
  </w:style>
  <w:style w:type="paragraph" w:styleId="af9">
    <w:name w:val="annotation text"/>
    <w:basedOn w:val="a"/>
    <w:link w:val="afa"/>
    <w:uiPriority w:val="99"/>
    <w:semiHidden/>
    <w:unhideWhenUsed/>
    <w:rPr>
      <w:sz w:val="20"/>
      <w:szCs w:val="20"/>
    </w:rPr>
  </w:style>
  <w:style w:type="character" w:customStyle="1" w:styleId="afa">
    <w:name w:val="Текст примечания Знак"/>
    <w:basedOn w:val="a0"/>
    <w:link w:val="af9"/>
    <w:uiPriority w:val="99"/>
    <w:semiHidden/>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Pr>
      <w:b/>
      <w:bCs/>
    </w:rPr>
  </w:style>
  <w:style w:type="character" w:customStyle="1" w:styleId="afc">
    <w:name w:val="Тема примечания Знак"/>
    <w:basedOn w:val="afa"/>
    <w:link w:val="afb"/>
    <w:uiPriority w:val="99"/>
    <w:semiHidden/>
    <w:rPr>
      <w:rFonts w:ascii="Times New Roman" w:eastAsia="Times New Roman" w:hAnsi="Times New Roman" w:cs="Times New Roman"/>
      <w:b/>
      <w:bCs/>
      <w:sz w:val="20"/>
      <w:szCs w:val="20"/>
      <w:lang w:eastAsia="ru-RU"/>
    </w:rPr>
  </w:style>
  <w:style w:type="table" w:styleId="afd">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rPr>
      <w:rFonts w:ascii="Times New Roman" w:eastAsia="Times New Roman" w:hAnsi="Times New Roman" w:cs="Times New Roman"/>
      <w:b/>
      <w:bCs/>
      <w:color w:val="000000"/>
      <w:spacing w:val="-4"/>
      <w:sz w:val="28"/>
      <w:szCs w:val="26"/>
      <w:shd w:val="clear" w:color="auto" w:fill="FFFFFF"/>
      <w:lang w:eastAsia="ru-RU"/>
    </w:rPr>
  </w:style>
  <w:style w:type="paragraph" w:styleId="afe">
    <w:name w:val="header"/>
    <w:basedOn w:val="a"/>
    <w:link w:val="aff"/>
    <w:uiPriority w:val="99"/>
    <w:unhideWhenUsed/>
    <w:pPr>
      <w:tabs>
        <w:tab w:val="center" w:pos="4677"/>
        <w:tab w:val="right" w:pos="9355"/>
      </w:tabs>
    </w:pPr>
  </w:style>
  <w:style w:type="character" w:customStyle="1" w:styleId="aff">
    <w:name w:val="Верхний колонтитул Знак"/>
    <w:basedOn w:val="a0"/>
    <w:link w:val="afe"/>
    <w:uiPriority w:val="99"/>
    <w:rPr>
      <w:rFonts w:ascii="Times New Roman" w:eastAsia="Times New Roman" w:hAnsi="Times New Roman" w:cs="Times New Roman"/>
      <w:sz w:val="28"/>
      <w:szCs w:val="24"/>
      <w:lang w:eastAsia="ru-RU"/>
    </w:rPr>
  </w:style>
  <w:style w:type="paragraph" w:styleId="aff0">
    <w:name w:val="footer"/>
    <w:basedOn w:val="a"/>
    <w:link w:val="aff1"/>
    <w:uiPriority w:val="99"/>
    <w:unhideWhenUsed/>
    <w:pPr>
      <w:tabs>
        <w:tab w:val="center" w:pos="4677"/>
        <w:tab w:val="right" w:pos="9355"/>
      </w:tabs>
    </w:pPr>
  </w:style>
  <w:style w:type="character" w:customStyle="1" w:styleId="aff1">
    <w:name w:val="Нижний колонтитул Знак"/>
    <w:basedOn w:val="a0"/>
    <w:link w:val="aff0"/>
    <w:uiPriority w:val="99"/>
    <w:rPr>
      <w:rFonts w:ascii="Times New Roman" w:eastAsia="Times New Roman" w:hAnsi="Times New Roman" w:cs="Times New Roman"/>
      <w:sz w:val="28"/>
      <w:szCs w:val="24"/>
      <w:lang w:eastAsia="ru-RU"/>
    </w:rPr>
  </w:style>
  <w:style w:type="paragraph" w:customStyle="1" w:styleId="Style5">
    <w:name w:val="Style5"/>
    <w:basedOn w:val="a"/>
    <w:pPr>
      <w:widowControl w:val="0"/>
      <w:spacing w:line="317" w:lineRule="exact"/>
      <w:ind w:hanging="346"/>
    </w:pPr>
    <w:rPr>
      <w:sz w:val="24"/>
    </w:rPr>
  </w:style>
  <w:style w:type="paragraph" w:styleId="aff2">
    <w:name w:val="No Spacing"/>
    <w:link w:val="aff3"/>
    <w:uiPriority w:val="1"/>
    <w:qFormat/>
    <w:pPr>
      <w:spacing w:after="0" w:line="240" w:lineRule="auto"/>
    </w:pPr>
    <w:rPr>
      <w:rFonts w:ascii="Times New Roman" w:eastAsia="Times New Roman" w:hAnsi="Times New Roman" w:cs="Times New Roman"/>
      <w:sz w:val="24"/>
      <w:szCs w:val="24"/>
      <w:lang w:eastAsia="ru-RU"/>
    </w:rPr>
  </w:style>
  <w:style w:type="character" w:customStyle="1" w:styleId="aff3">
    <w:name w:val="Без интервала Знак"/>
    <w:link w:val="aff2"/>
    <w:uiPriority w:val="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ADF07AD177344B261F759F980E14F" ma:contentTypeVersion="8" ma:contentTypeDescription="Create a new document." ma:contentTypeScope="" ma:versionID="b17da19ae4c032dc3f8dacb4f0c8b791">
  <xsd:schema xmlns:xsd="http://www.w3.org/2001/XMLSchema" xmlns:xs="http://www.w3.org/2001/XMLSchema" xmlns:p="http://schemas.microsoft.com/office/2006/metadata/properties" xmlns:ns3="67a76d3d-6a60-49d3-aa84-6bf5e8df3f02" targetNamespace="http://schemas.microsoft.com/office/2006/metadata/properties" ma:root="true" ma:fieldsID="923ec4cfa93e629d4342711a59c1eabd" ns3:_="">
    <xsd:import namespace="67a76d3d-6a60-49d3-aa84-6bf5e8df3f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76d3d-6a60-49d3-aa84-6bf5e8df3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D009CF-8014-48BF-86FE-47BE2ACF5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76d3d-6a60-49d3-aa84-6bf5e8df3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2F406-19BD-45D4-9552-FAF49A5304A0}">
  <ds:schemaRefs>
    <ds:schemaRef ds:uri="http://schemas.openxmlformats.org/officeDocument/2006/bibliography"/>
  </ds:schemaRefs>
</ds:datastoreItem>
</file>

<file path=customXml/itemProps3.xml><?xml version="1.0" encoding="utf-8"?>
<ds:datastoreItem xmlns:ds="http://schemas.openxmlformats.org/officeDocument/2006/customXml" ds:itemID="{8998AEE0-83E1-467E-A5E5-F7CF66FFE7F5}">
  <ds:schemaRefs>
    <ds:schemaRef ds:uri="http://schemas.microsoft.com/sharepoint/v3/contenttype/forms"/>
  </ds:schemaRefs>
</ds:datastoreItem>
</file>

<file path=customXml/itemProps4.xml><?xml version="1.0" encoding="utf-8"?>
<ds:datastoreItem xmlns:ds="http://schemas.openxmlformats.org/officeDocument/2006/customXml" ds:itemID="{A979065B-236E-405F-876E-E45A4590EA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ЗАЙЦЕВА Татьяна Валерьевна</dc:creator>
  <cp:keywords/>
  <dc:description/>
  <cp:lastModifiedBy>ПРИЕМНАЯ ВИКТОРИИ</cp:lastModifiedBy>
  <cp:revision>2</cp:revision>
  <dcterms:created xsi:type="dcterms:W3CDTF">2026-04-15T12:16:00Z</dcterms:created>
  <dcterms:modified xsi:type="dcterms:W3CDTF">2026-04-15T12:16:00Z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0x01010087EADF07AD177344B261F759F980E14F</vt:lpwstr>
  </property>
</Properties>
</file>